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36" w:rsidRPr="00C71CB5" w:rsidRDefault="004564F9" w:rsidP="00C71CB5">
      <w:pPr>
        <w:jc w:val="center"/>
        <w:rPr>
          <w:rFonts w:ascii="Arial" w:hAnsi="Arial" w:cs="Arial"/>
          <w:b/>
          <w:bCs/>
          <w:sz w:val="24"/>
          <w:lang w:val="en-US"/>
        </w:rPr>
      </w:pPr>
      <w:bookmarkStart w:id="0" w:name="_GoBack"/>
      <w:bookmarkEnd w:id="0"/>
      <w:proofErr w:type="spellStart"/>
      <w:r w:rsidRPr="009F3EF3">
        <w:rPr>
          <w:rFonts w:ascii="Arial" w:hAnsi="Arial" w:cs="Arial"/>
          <w:b/>
          <w:bCs/>
          <w:color w:val="0070C0"/>
          <w:sz w:val="32"/>
          <w:lang w:val="en-US"/>
        </w:rPr>
        <w:t>Bristnall</w:t>
      </w:r>
      <w:proofErr w:type="spellEnd"/>
      <w:r w:rsidRPr="009F3EF3">
        <w:rPr>
          <w:rFonts w:ascii="Arial" w:hAnsi="Arial" w:cs="Arial"/>
          <w:b/>
          <w:bCs/>
          <w:color w:val="0070C0"/>
          <w:sz w:val="32"/>
          <w:lang w:val="en-US"/>
        </w:rPr>
        <w:t xml:space="preserve"> H</w:t>
      </w:r>
      <w:r w:rsidR="0041463F">
        <w:rPr>
          <w:rFonts w:ascii="Arial" w:hAnsi="Arial" w:cs="Arial"/>
          <w:b/>
          <w:bCs/>
          <w:color w:val="0070C0"/>
          <w:sz w:val="32"/>
          <w:lang w:val="en-US"/>
        </w:rPr>
        <w:t>all Academy – Pupil Premium 2013/14</w:t>
      </w:r>
    </w:p>
    <w:p w:rsidR="00C71CB5" w:rsidRPr="009F3EF3" w:rsidRDefault="00C71CB5" w:rsidP="00C71CB5">
      <w:pPr>
        <w:rPr>
          <w:rFonts w:ascii="Arial" w:hAnsi="Arial" w:cs="Arial"/>
          <w:b/>
          <w:bCs/>
          <w:color w:val="0070C0"/>
          <w:lang w:val="en-US"/>
        </w:rPr>
      </w:pPr>
      <w:r w:rsidRPr="009F3EF3">
        <w:rPr>
          <w:rFonts w:ascii="Arial" w:hAnsi="Arial" w:cs="Arial"/>
          <w:b/>
          <w:bCs/>
          <w:color w:val="0070C0"/>
          <w:lang w:val="en-US"/>
        </w:rPr>
        <w:t>The Pupil Premium Grant</w:t>
      </w:r>
    </w:p>
    <w:p w:rsidR="00C71CB5" w:rsidRDefault="00C71CB5" w:rsidP="00C71CB5">
      <w:pPr>
        <w:spacing w:after="0" w:line="240" w:lineRule="auto"/>
        <w:rPr>
          <w:rFonts w:ascii="Arial" w:hAnsi="Arial" w:cs="Arial"/>
        </w:rPr>
      </w:pPr>
      <w:r w:rsidRPr="00362D63">
        <w:rPr>
          <w:rFonts w:ascii="Arial" w:hAnsi="Arial" w:cs="Arial"/>
        </w:rPr>
        <w:t>Pupil Premium is a Government initiativ</w:t>
      </w:r>
      <w:r>
        <w:rPr>
          <w:rFonts w:ascii="Arial" w:hAnsi="Arial" w:cs="Arial"/>
        </w:rPr>
        <w:t xml:space="preserve">e that provides </w:t>
      </w:r>
      <w:r w:rsidRPr="00362D63">
        <w:rPr>
          <w:rFonts w:ascii="Arial" w:hAnsi="Arial" w:cs="Arial"/>
        </w:rPr>
        <w:t xml:space="preserve">funding aimed at pupils from deprived backgrounds. </w:t>
      </w:r>
      <w:r>
        <w:rPr>
          <w:rFonts w:ascii="Arial" w:hAnsi="Arial" w:cs="Arial"/>
        </w:rPr>
        <w:t xml:space="preserve"> </w:t>
      </w:r>
      <w:r w:rsidRPr="00362D63">
        <w:rPr>
          <w:rFonts w:ascii="Arial" w:hAnsi="Arial" w:cs="Arial"/>
        </w:rPr>
        <w:t>Research shows that pupils from deprived backgrounds underachieve compared to their non</w:t>
      </w:r>
      <w:r w:rsidRPr="00362D63">
        <w:rPr>
          <w:rFonts w:cs="Arial"/>
        </w:rPr>
        <w:t>‐</w:t>
      </w:r>
      <w:r w:rsidRPr="00362D63">
        <w:rPr>
          <w:rFonts w:ascii="Arial" w:hAnsi="Arial" w:cs="Arial"/>
        </w:rPr>
        <w:t>deprived peers. The Pupil Premium</w:t>
      </w:r>
      <w:r>
        <w:rPr>
          <w:rFonts w:ascii="Arial" w:hAnsi="Arial" w:cs="Arial"/>
        </w:rPr>
        <w:t xml:space="preserve"> grant</w:t>
      </w:r>
      <w:r w:rsidRPr="00362D63">
        <w:rPr>
          <w:rFonts w:ascii="Arial" w:hAnsi="Arial" w:cs="Arial"/>
        </w:rPr>
        <w:t xml:space="preserve"> is provided in order to support these pupils in reaching their potential by accelerating their progress. </w:t>
      </w:r>
      <w:r>
        <w:rPr>
          <w:rFonts w:ascii="Arial" w:hAnsi="Arial" w:cs="Arial"/>
        </w:rPr>
        <w:t xml:space="preserve"> </w:t>
      </w:r>
    </w:p>
    <w:p w:rsidR="00F24331" w:rsidRDefault="00F24331" w:rsidP="00C71CB5">
      <w:pPr>
        <w:spacing w:after="0" w:line="240" w:lineRule="auto"/>
        <w:rPr>
          <w:rFonts w:ascii="Arial" w:hAnsi="Arial" w:cs="Arial"/>
        </w:rPr>
      </w:pPr>
    </w:p>
    <w:p w:rsidR="00F24331" w:rsidRDefault="00F24331" w:rsidP="00F24331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F24331" w:rsidRDefault="00F24331" w:rsidP="00F24331">
      <w:pPr>
        <w:spacing w:after="0" w:line="240" w:lineRule="auto"/>
        <w:rPr>
          <w:rFonts w:ascii="Arial" w:hAnsi="Arial" w:cs="Arial"/>
          <w:b/>
          <w:color w:val="0070C0"/>
        </w:rPr>
      </w:pPr>
      <w:r w:rsidRPr="009F3EF3">
        <w:rPr>
          <w:rFonts w:ascii="Arial" w:hAnsi="Arial" w:cs="Arial"/>
          <w:b/>
          <w:color w:val="0070C0"/>
        </w:rPr>
        <w:t>Use of Pupil Premium Grant</w:t>
      </w:r>
    </w:p>
    <w:p w:rsidR="00F24331" w:rsidRPr="009F3EF3" w:rsidRDefault="00F24331" w:rsidP="00F24331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F24331" w:rsidRDefault="00F24331" w:rsidP="00F243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Arial" w:hAnsi="Arial" w:cs="Arial"/>
        </w:rPr>
        <w:t xml:space="preserve">At </w:t>
      </w:r>
      <w:proofErr w:type="spellStart"/>
      <w:r w:rsidRPr="00E7269D">
        <w:rPr>
          <w:rFonts w:ascii="Arial" w:hAnsi="Arial" w:cs="Arial"/>
        </w:rPr>
        <w:t>Bristnall</w:t>
      </w:r>
      <w:proofErr w:type="spellEnd"/>
      <w:r w:rsidRPr="00E7269D">
        <w:rPr>
          <w:rFonts w:ascii="Arial" w:hAnsi="Arial" w:cs="Arial"/>
        </w:rPr>
        <w:t xml:space="preserve"> Hall Academy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</w:t>
      </w:r>
      <w:r w:rsidRPr="00362D63">
        <w:rPr>
          <w:rFonts w:ascii="Arial" w:hAnsi="Arial" w:cs="Arial"/>
        </w:rPr>
        <w:t xml:space="preserve">he Pupil Premium </w:t>
      </w:r>
      <w:r>
        <w:rPr>
          <w:rFonts w:ascii="Arial" w:hAnsi="Arial" w:cs="Arial"/>
        </w:rPr>
        <w:t xml:space="preserve">grant is used to provide </w:t>
      </w:r>
      <w:r w:rsidRPr="00362D63">
        <w:rPr>
          <w:rFonts w:ascii="Arial" w:hAnsi="Arial" w:cs="Arial"/>
        </w:rPr>
        <w:t>educational support</w:t>
      </w:r>
      <w:r>
        <w:rPr>
          <w:rFonts w:ascii="Arial" w:hAnsi="Arial" w:cs="Arial"/>
        </w:rPr>
        <w:t>,</w:t>
      </w:r>
      <w:r w:rsidRPr="00362D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wherever it is required, </w:t>
      </w:r>
      <w:r w:rsidRPr="00362D63">
        <w:rPr>
          <w:rFonts w:ascii="Arial" w:hAnsi="Arial" w:cs="Arial"/>
        </w:rPr>
        <w:t xml:space="preserve">to improve the progress and raise the </w:t>
      </w:r>
      <w:r>
        <w:rPr>
          <w:rFonts w:ascii="Arial" w:hAnsi="Arial" w:cs="Arial"/>
        </w:rPr>
        <w:t xml:space="preserve">achievement for these students, </w:t>
      </w:r>
      <w:r w:rsidRPr="00362D63">
        <w:rPr>
          <w:rFonts w:ascii="Arial" w:hAnsi="Arial" w:cs="Arial"/>
        </w:rPr>
        <w:t xml:space="preserve">to narrow and close the gap between the </w:t>
      </w:r>
      <w:r>
        <w:rPr>
          <w:rFonts w:ascii="Arial" w:hAnsi="Arial" w:cs="Arial"/>
        </w:rPr>
        <w:t xml:space="preserve">achievement of these students </w:t>
      </w:r>
      <w:r w:rsidRPr="00362D63">
        <w:rPr>
          <w:rFonts w:ascii="Arial" w:hAnsi="Arial" w:cs="Arial"/>
        </w:rPr>
        <w:t>and their peers</w:t>
      </w:r>
      <w:r>
        <w:rPr>
          <w:rFonts w:ascii="Arial" w:hAnsi="Arial" w:cs="Arial"/>
        </w:rPr>
        <w:t>.</w:t>
      </w:r>
    </w:p>
    <w:p w:rsidR="00F24331" w:rsidRPr="00362D63" w:rsidRDefault="00F24331" w:rsidP="00C71CB5">
      <w:pPr>
        <w:spacing w:after="0" w:line="240" w:lineRule="auto"/>
        <w:rPr>
          <w:rFonts w:ascii="Arial" w:hAnsi="Arial" w:cs="Arial"/>
        </w:rPr>
      </w:pPr>
    </w:p>
    <w:p w:rsidR="001B5436" w:rsidRDefault="001B5436" w:rsidP="00E7269D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</w:p>
    <w:p w:rsidR="00C71CB5" w:rsidRPr="00F24331" w:rsidRDefault="00264A02" w:rsidP="00F24331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884691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Interventions</w:t>
      </w:r>
      <w:r w:rsidR="00C71CB5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2013-2014</w:t>
      </w:r>
      <w:r w:rsidR="00F24331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br/>
      </w:r>
    </w:p>
    <w:tbl>
      <w:tblPr>
        <w:tblStyle w:val="TableGrid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559"/>
      </w:tblGrid>
      <w:tr w:rsidR="00C71CB5" w:rsidTr="00C71CB5">
        <w:tc>
          <w:tcPr>
            <w:tcW w:w="8080" w:type="dxa"/>
            <w:shd w:val="clear" w:color="auto" w:fill="BFBFBF" w:themeFill="background1" w:themeFillShade="BF"/>
          </w:tcPr>
          <w:p w:rsidR="00C71CB5" w:rsidRPr="00262BB6" w:rsidRDefault="00C71CB5" w:rsidP="00E7269D">
            <w:pPr>
              <w:rPr>
                <w:rFonts w:ascii="Arial" w:hAnsi="Arial" w:cs="Arial"/>
                <w:b/>
              </w:rPr>
            </w:pPr>
            <w:r w:rsidRPr="002316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Provision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71CB5" w:rsidRPr="00262BB6" w:rsidRDefault="00C71CB5" w:rsidP="00E7269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Allocation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41463F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>Smaller Class sizes</w:t>
            </w:r>
            <w:r>
              <w:rPr>
                <w:rFonts w:ascii="Arial" w:hAnsi="Arial" w:cs="Arial"/>
              </w:rPr>
              <w:t xml:space="preserve"> - </w:t>
            </w:r>
            <w:r w:rsidRPr="00262BB6">
              <w:rPr>
                <w:rFonts w:ascii="Arial" w:hAnsi="Arial" w:cs="Arial"/>
              </w:rPr>
              <w:t>To improve teac</w:t>
            </w:r>
            <w:r>
              <w:rPr>
                <w:rFonts w:ascii="Arial" w:hAnsi="Arial" w:cs="Arial"/>
              </w:rPr>
              <w:t>hing and Learning in English/</w:t>
            </w:r>
            <w:r w:rsidRPr="00262BB6">
              <w:rPr>
                <w:rFonts w:ascii="Arial" w:hAnsi="Arial" w:cs="Arial"/>
              </w:rPr>
              <w:t>Maths</w:t>
            </w:r>
            <w:r w:rsidR="00F96DC1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£90,000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48630F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>English</w:t>
            </w:r>
            <w:r>
              <w:rPr>
                <w:rFonts w:ascii="Arial" w:hAnsi="Arial" w:cs="Arial"/>
              </w:rPr>
              <w:t xml:space="preserve"> </w:t>
            </w:r>
            <w:r w:rsidRPr="00262BB6">
              <w:rPr>
                <w:rFonts w:ascii="Arial" w:hAnsi="Arial" w:cs="Arial"/>
              </w:rPr>
              <w:t>1:1 provision</w:t>
            </w:r>
            <w:r>
              <w:rPr>
                <w:rFonts w:ascii="Arial" w:hAnsi="Arial" w:cs="Arial"/>
              </w:rPr>
              <w:t xml:space="preserve"> - </w:t>
            </w:r>
            <w:r w:rsidRPr="00262BB6">
              <w:rPr>
                <w:rFonts w:ascii="Arial" w:hAnsi="Arial" w:cs="Arial"/>
              </w:rPr>
              <w:t>Intensive individual tuit</w:t>
            </w:r>
            <w:r>
              <w:rPr>
                <w:rFonts w:ascii="Arial" w:hAnsi="Arial" w:cs="Arial"/>
              </w:rPr>
              <w:t>ion to raise Literacy levels</w:t>
            </w:r>
            <w:r w:rsidR="00F96DC1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C71CB5" w:rsidRDefault="00C71CB5" w:rsidP="00C71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£15,000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5807C9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>Maths 1:1 provision</w:t>
            </w:r>
            <w:r>
              <w:rPr>
                <w:rFonts w:ascii="Arial" w:hAnsi="Arial" w:cs="Arial"/>
              </w:rPr>
              <w:t xml:space="preserve"> - </w:t>
            </w:r>
            <w:r w:rsidRPr="00262BB6">
              <w:rPr>
                <w:rFonts w:ascii="Arial" w:hAnsi="Arial" w:cs="Arial"/>
              </w:rPr>
              <w:t>Intensive individual tuit</w:t>
            </w:r>
            <w:r>
              <w:rPr>
                <w:rFonts w:ascii="Arial" w:hAnsi="Arial" w:cs="Arial"/>
              </w:rPr>
              <w:t>ion to raise Literacy levels</w:t>
            </w:r>
            <w:r w:rsidR="00F96DC1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MFL</w:t>
            </w:r>
            <w:r w:rsidRPr="00262BB6">
              <w:rPr>
                <w:rFonts w:ascii="Arial" w:hAnsi="Arial" w:cs="Arial"/>
              </w:rPr>
              <w:t xml:space="preserve"> 1:1 provision</w:t>
            </w:r>
            <w:r>
              <w:rPr>
                <w:rFonts w:ascii="Arial" w:hAnsi="Arial" w:cs="Arial"/>
              </w:rPr>
              <w:t xml:space="preserve"> - </w:t>
            </w:r>
            <w:r w:rsidRPr="00262BB6">
              <w:rPr>
                <w:rFonts w:ascii="Arial" w:hAnsi="Arial" w:cs="Arial"/>
              </w:rPr>
              <w:t>Intensive individual tuit</w:t>
            </w:r>
            <w:r>
              <w:rPr>
                <w:rFonts w:ascii="Arial" w:hAnsi="Arial" w:cs="Arial"/>
              </w:rPr>
              <w:t>ion to raise Literacy levels</w:t>
            </w:r>
            <w:r w:rsidR="00F96DC1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71CB5" w:rsidRDefault="00C71CB5" w:rsidP="0041463F">
            <w:pPr>
              <w:rPr>
                <w:rFonts w:ascii="Arial" w:hAnsi="Arial" w:cs="Arial"/>
              </w:rPr>
            </w:pP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Humanities</w:t>
            </w:r>
            <w:r w:rsidRPr="00262BB6">
              <w:rPr>
                <w:rFonts w:ascii="Arial" w:hAnsi="Arial" w:cs="Arial"/>
              </w:rPr>
              <w:t xml:space="preserve"> 1:1 provision</w:t>
            </w:r>
            <w:r>
              <w:rPr>
                <w:rFonts w:ascii="Arial" w:hAnsi="Arial" w:cs="Arial"/>
              </w:rPr>
              <w:t xml:space="preserve"> - </w:t>
            </w:r>
            <w:r w:rsidRPr="00262BB6">
              <w:rPr>
                <w:rFonts w:ascii="Arial" w:hAnsi="Arial" w:cs="Arial"/>
              </w:rPr>
              <w:t>Intensive individual tuit</w:t>
            </w:r>
            <w:r>
              <w:rPr>
                <w:rFonts w:ascii="Arial" w:hAnsi="Arial" w:cs="Arial"/>
              </w:rPr>
              <w:t>ion to raise Literacy levels</w:t>
            </w:r>
            <w:r w:rsidR="00F96DC1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71CB5" w:rsidRDefault="00C71CB5" w:rsidP="0041463F">
            <w:pPr>
              <w:rPr>
                <w:rFonts w:ascii="Arial" w:hAnsi="Arial" w:cs="Arial"/>
              </w:rPr>
            </w:pP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A52C8F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 xml:space="preserve">Accelerated Reading </w:t>
            </w:r>
            <w:r>
              <w:rPr>
                <w:rFonts w:ascii="Arial" w:hAnsi="Arial" w:cs="Arial"/>
              </w:rPr>
              <w:t xml:space="preserve">- </w:t>
            </w:r>
            <w:r w:rsidRPr="00262BB6">
              <w:rPr>
                <w:rFonts w:ascii="Arial" w:hAnsi="Arial" w:cs="Arial"/>
              </w:rPr>
              <w:t>Targeted Lit</w:t>
            </w:r>
            <w:r>
              <w:rPr>
                <w:rFonts w:ascii="Arial" w:hAnsi="Arial" w:cs="Arial"/>
              </w:rPr>
              <w:t>eracy intervention to close gap.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41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5807C9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>Reading Club</w:t>
            </w:r>
            <w:r>
              <w:rPr>
                <w:rFonts w:ascii="Arial" w:hAnsi="Arial" w:cs="Arial"/>
              </w:rPr>
              <w:t xml:space="preserve"> - </w:t>
            </w:r>
            <w:r w:rsidRPr="00262BB6">
              <w:rPr>
                <w:rFonts w:ascii="Arial" w:hAnsi="Arial" w:cs="Arial"/>
              </w:rPr>
              <w:t>Literacy int</w:t>
            </w:r>
            <w:r>
              <w:rPr>
                <w:rFonts w:ascii="Arial" w:hAnsi="Arial" w:cs="Arial"/>
              </w:rPr>
              <w:t>ervention during am registration.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41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A52C8F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 xml:space="preserve">STAR group </w:t>
            </w:r>
            <w:r>
              <w:rPr>
                <w:rFonts w:ascii="Arial" w:hAnsi="Arial" w:cs="Arial"/>
              </w:rPr>
              <w:t xml:space="preserve">- Small group Literacy catch up </w:t>
            </w:r>
            <w:r w:rsidRPr="00262BB6">
              <w:rPr>
                <w:rFonts w:ascii="Arial" w:hAnsi="Arial" w:cs="Arial"/>
              </w:rPr>
              <w:t>interv</w:t>
            </w:r>
            <w:r>
              <w:rPr>
                <w:rFonts w:ascii="Arial" w:hAnsi="Arial" w:cs="Arial"/>
              </w:rPr>
              <w:t>ention to close the gap.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1B5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£20,000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Computer Club - </w:t>
            </w:r>
            <w:r w:rsidRPr="00262BB6">
              <w:rPr>
                <w:rFonts w:ascii="Arial" w:hAnsi="Arial" w:cs="Arial"/>
              </w:rPr>
              <w:t>Literacy intervention during am registration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41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48630F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>MFL Residential Support</w:t>
            </w:r>
            <w:r>
              <w:rPr>
                <w:rFonts w:ascii="Arial" w:hAnsi="Arial" w:cs="Arial"/>
              </w:rPr>
              <w:t xml:space="preserve"> - Subsidy for </w:t>
            </w:r>
            <w:r w:rsidRPr="00262BB6">
              <w:rPr>
                <w:rFonts w:ascii="Arial" w:hAnsi="Arial" w:cs="Arial"/>
              </w:rPr>
              <w:t>targeted students to attend Residential</w:t>
            </w:r>
            <w:r>
              <w:rPr>
                <w:rFonts w:ascii="Arial" w:hAnsi="Arial" w:cs="Arial"/>
              </w:rPr>
              <w:t>.</w:t>
            </w:r>
            <w:r w:rsidRPr="00262B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C71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Maths Enable Set 4 - Small group Numeracy </w:t>
            </w:r>
            <w:r w:rsidRPr="00262BB6">
              <w:rPr>
                <w:rFonts w:ascii="Arial" w:hAnsi="Arial" w:cs="Arial"/>
              </w:rPr>
              <w:t>interv</w:t>
            </w:r>
            <w:r>
              <w:rPr>
                <w:rFonts w:ascii="Arial" w:hAnsi="Arial" w:cs="Arial"/>
              </w:rPr>
              <w:t>ention to close the gap.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£24,960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C71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Coaches – Academic coaches in English Mathematics and Science.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1B5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£95,285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Pr="00262BB6" w:rsidRDefault="00C71CB5" w:rsidP="005807C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Learning</w:t>
            </w:r>
            <w:proofErr w:type="gramEnd"/>
            <w:r>
              <w:rPr>
                <w:rFonts w:ascii="Arial" w:hAnsi="Arial" w:cs="Arial"/>
              </w:rPr>
              <w:t xml:space="preserve"> Mentors - To support students both academically and pastorally.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£28,841</w:t>
            </w:r>
          </w:p>
        </w:tc>
      </w:tr>
    </w:tbl>
    <w:p w:rsidR="00C71CB5" w:rsidRDefault="00C71CB5"/>
    <w:tbl>
      <w:tblPr>
        <w:tblStyle w:val="TableGrid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559"/>
      </w:tblGrid>
      <w:tr w:rsidR="00C71CB5" w:rsidTr="00C71CB5">
        <w:tc>
          <w:tcPr>
            <w:tcW w:w="8080" w:type="dxa"/>
            <w:shd w:val="clear" w:color="auto" w:fill="BFBFBF" w:themeFill="background1" w:themeFillShade="BF"/>
          </w:tcPr>
          <w:p w:rsidR="00C71CB5" w:rsidRDefault="00C71CB5" w:rsidP="005807C9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  <w:b/>
              </w:rPr>
              <w:t>SUPPORT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Allocation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 xml:space="preserve">1:1 Counselling </w:t>
            </w:r>
            <w:r>
              <w:rPr>
                <w:rFonts w:ascii="Arial" w:hAnsi="Arial" w:cs="Arial"/>
              </w:rPr>
              <w:t xml:space="preserve">- </w:t>
            </w:r>
            <w:r w:rsidRPr="00262BB6">
              <w:rPr>
                <w:rFonts w:ascii="Arial" w:hAnsi="Arial" w:cs="Arial"/>
              </w:rPr>
              <w:t>Trained counsellor support for students with emotional needs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>£3000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>Support from Home Academy Liaison Officer</w:t>
            </w:r>
            <w:r w:rsidR="00F96DC1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 xml:space="preserve">WBA Attendance Monitoring </w:t>
            </w:r>
            <w:r>
              <w:rPr>
                <w:rFonts w:ascii="Arial" w:hAnsi="Arial" w:cs="Arial"/>
              </w:rPr>
              <w:t xml:space="preserve">- </w:t>
            </w:r>
            <w:r w:rsidRPr="00262BB6">
              <w:rPr>
                <w:rFonts w:ascii="Arial" w:hAnsi="Arial" w:cs="Arial"/>
              </w:rPr>
              <w:t xml:space="preserve">To improve attendance of targeted students and PA students.  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Pr="00262BB6" w:rsidRDefault="00C71CB5" w:rsidP="00C71CB5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</w:rPr>
              <w:t>£9000</w:t>
            </w:r>
          </w:p>
          <w:p w:rsidR="00C71CB5" w:rsidRDefault="00C71CB5" w:rsidP="005807C9">
            <w:pPr>
              <w:rPr>
                <w:rFonts w:ascii="Arial" w:hAnsi="Arial" w:cs="Arial"/>
              </w:rPr>
            </w:pP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proofErr w:type="gramStart"/>
            <w:r w:rsidRPr="00262BB6">
              <w:rPr>
                <w:rFonts w:ascii="Arial" w:hAnsi="Arial" w:cs="Arial"/>
              </w:rPr>
              <w:t>Learning</w:t>
            </w:r>
            <w:proofErr w:type="gramEnd"/>
            <w:r w:rsidRPr="00262BB6">
              <w:rPr>
                <w:rFonts w:ascii="Arial" w:hAnsi="Arial" w:cs="Arial"/>
              </w:rPr>
              <w:t xml:space="preserve"> Support Unit</w:t>
            </w:r>
            <w:r>
              <w:rPr>
                <w:rFonts w:ascii="Arial" w:hAnsi="Arial" w:cs="Arial"/>
              </w:rPr>
              <w:t xml:space="preserve"> - To support students who have difficulties in main stream schooling and/or particular lessons, or have behavioural/emotional issues.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£48,992</w:t>
            </w:r>
          </w:p>
        </w:tc>
      </w:tr>
    </w:tbl>
    <w:p w:rsidR="00C71CB5" w:rsidRDefault="00C71CB5"/>
    <w:tbl>
      <w:tblPr>
        <w:tblStyle w:val="TableGrid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559"/>
      </w:tblGrid>
      <w:tr w:rsidR="00C71CB5" w:rsidTr="00C71CB5">
        <w:tc>
          <w:tcPr>
            <w:tcW w:w="8080" w:type="dxa"/>
            <w:shd w:val="clear" w:color="auto" w:fill="BFBFBF" w:themeFill="background1" w:themeFillShade="BF"/>
          </w:tcPr>
          <w:p w:rsidR="00C71CB5" w:rsidRDefault="00C71CB5" w:rsidP="005807C9">
            <w:pPr>
              <w:rPr>
                <w:rFonts w:ascii="Arial" w:hAnsi="Arial" w:cs="Arial"/>
              </w:rPr>
            </w:pPr>
            <w:r w:rsidRPr="00262BB6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Allocation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for Learning – Progress sheets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F96DC1" w:rsidP="00F9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Duke of Edinburgh 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£2113.65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– Travel support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 club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Experience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and Technology - Financial support for practical sessions  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tuition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£180                                           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for Learning – </w:t>
            </w:r>
            <w:r w:rsidR="00523696">
              <w:rPr>
                <w:rFonts w:ascii="Arial" w:hAnsi="Arial" w:cs="Arial"/>
              </w:rPr>
              <w:t xml:space="preserve">Supporting </w:t>
            </w:r>
            <w:r>
              <w:rPr>
                <w:rFonts w:ascii="Arial" w:hAnsi="Arial" w:cs="Arial"/>
              </w:rPr>
              <w:t>KAT books</w:t>
            </w:r>
            <w:r w:rsidR="00523696">
              <w:rPr>
                <w:rFonts w:ascii="Arial" w:hAnsi="Arial" w:cs="Arial"/>
              </w:rPr>
              <w:t xml:space="preserve"> and students feedback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£2000</w:t>
            </w:r>
          </w:p>
        </w:tc>
      </w:tr>
      <w:tr w:rsidR="00C71CB5" w:rsidTr="00C71CB5">
        <w:tc>
          <w:tcPr>
            <w:tcW w:w="8080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for Pupil Premium and Pastoral</w:t>
            </w:r>
          </w:p>
        </w:tc>
        <w:tc>
          <w:tcPr>
            <w:tcW w:w="1559" w:type="dxa"/>
            <w:shd w:val="clear" w:color="auto" w:fill="FFFFFF" w:themeFill="background1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£290</w:t>
            </w:r>
          </w:p>
        </w:tc>
      </w:tr>
    </w:tbl>
    <w:p w:rsidR="00C71CB5" w:rsidRDefault="00C71CB5"/>
    <w:tbl>
      <w:tblPr>
        <w:tblStyle w:val="TableGrid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559"/>
      </w:tblGrid>
      <w:tr w:rsidR="00C71CB5" w:rsidTr="00523696">
        <w:tc>
          <w:tcPr>
            <w:tcW w:w="8080" w:type="dxa"/>
            <w:shd w:val="clear" w:color="auto" w:fill="BFBFBF" w:themeFill="background1" w:themeFillShade="BF"/>
          </w:tcPr>
          <w:p w:rsidR="00C71CB5" w:rsidRDefault="00C71CB5" w:rsidP="00C71C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71CB5" w:rsidRDefault="00C71CB5" w:rsidP="005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£356,061.65</w:t>
            </w:r>
          </w:p>
        </w:tc>
      </w:tr>
    </w:tbl>
    <w:p w:rsidR="00A52C8F" w:rsidRDefault="00A52C8F"/>
    <w:sectPr w:rsidR="00A52C8F" w:rsidSect="00884691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3DB"/>
    <w:multiLevelType w:val="hybridMultilevel"/>
    <w:tmpl w:val="F678DDC8"/>
    <w:lvl w:ilvl="0" w:tplc="F4EE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4C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E7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C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65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25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940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C5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07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9F36AC"/>
    <w:multiLevelType w:val="multilevel"/>
    <w:tmpl w:val="5C68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3943FD"/>
    <w:multiLevelType w:val="multilevel"/>
    <w:tmpl w:val="2548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6F5850"/>
    <w:multiLevelType w:val="hybridMultilevel"/>
    <w:tmpl w:val="57ACEA6C"/>
    <w:lvl w:ilvl="0" w:tplc="3E9AF4BA">
      <w:start w:val="1"/>
      <w:numFmt w:val="bullet"/>
      <w:lvlText w:val=""/>
      <w:lvlJc w:val="left"/>
      <w:pPr>
        <w:tabs>
          <w:tab w:val="num" w:pos="454"/>
        </w:tabs>
        <w:ind w:left="473" w:hanging="24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43D64"/>
    <w:multiLevelType w:val="hybridMultilevel"/>
    <w:tmpl w:val="D454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309B0"/>
    <w:multiLevelType w:val="hybridMultilevel"/>
    <w:tmpl w:val="8A1E3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077F5"/>
    <w:multiLevelType w:val="hybridMultilevel"/>
    <w:tmpl w:val="6DF0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05F19"/>
    <w:multiLevelType w:val="multilevel"/>
    <w:tmpl w:val="2C0C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423BE9"/>
    <w:multiLevelType w:val="multilevel"/>
    <w:tmpl w:val="4B40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074C1F"/>
    <w:multiLevelType w:val="hybridMultilevel"/>
    <w:tmpl w:val="31A0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231C8"/>
    <w:multiLevelType w:val="multilevel"/>
    <w:tmpl w:val="245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9D"/>
    <w:rsid w:val="001B381E"/>
    <w:rsid w:val="001B5436"/>
    <w:rsid w:val="002316A7"/>
    <w:rsid w:val="00256067"/>
    <w:rsid w:val="00264A02"/>
    <w:rsid w:val="00317748"/>
    <w:rsid w:val="004118A0"/>
    <w:rsid w:val="0041463F"/>
    <w:rsid w:val="00431631"/>
    <w:rsid w:val="004564F9"/>
    <w:rsid w:val="0048630F"/>
    <w:rsid w:val="004E7BE7"/>
    <w:rsid w:val="00521FAA"/>
    <w:rsid w:val="00523696"/>
    <w:rsid w:val="005538B1"/>
    <w:rsid w:val="005807C9"/>
    <w:rsid w:val="005A1982"/>
    <w:rsid w:val="005F6536"/>
    <w:rsid w:val="006605A1"/>
    <w:rsid w:val="00710452"/>
    <w:rsid w:val="00884691"/>
    <w:rsid w:val="009D7C3A"/>
    <w:rsid w:val="009F3EF3"/>
    <w:rsid w:val="00A00F48"/>
    <w:rsid w:val="00A52C8F"/>
    <w:rsid w:val="00B931E9"/>
    <w:rsid w:val="00BE0B09"/>
    <w:rsid w:val="00C02D0A"/>
    <w:rsid w:val="00C52132"/>
    <w:rsid w:val="00C61647"/>
    <w:rsid w:val="00C71CB5"/>
    <w:rsid w:val="00DC0104"/>
    <w:rsid w:val="00E62434"/>
    <w:rsid w:val="00E7269D"/>
    <w:rsid w:val="00F24331"/>
    <w:rsid w:val="00F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B1"/>
  </w:style>
  <w:style w:type="paragraph" w:styleId="Heading3">
    <w:name w:val="heading 3"/>
    <w:basedOn w:val="Normal"/>
    <w:link w:val="Heading3Char"/>
    <w:uiPriority w:val="9"/>
    <w:qFormat/>
    <w:rsid w:val="00E7269D"/>
    <w:pPr>
      <w:spacing w:before="100" w:beforeAutospacing="1" w:after="270" w:line="360" w:lineRule="atLeast"/>
      <w:outlineLvl w:val="2"/>
    </w:pPr>
    <w:rPr>
      <w:rFonts w:ascii="Tahoma" w:eastAsia="Times New Roman" w:hAnsi="Tahoma" w:cs="Tahoma"/>
      <w:color w:val="00539B"/>
      <w:spacing w:val="15"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7269D"/>
    <w:pPr>
      <w:spacing w:before="100" w:beforeAutospacing="1" w:after="270" w:line="360" w:lineRule="atLeast"/>
      <w:outlineLvl w:val="3"/>
    </w:pPr>
    <w:rPr>
      <w:rFonts w:ascii="Tahoma" w:eastAsia="Times New Roman" w:hAnsi="Tahoma" w:cs="Tahoma"/>
      <w:color w:val="00539B"/>
      <w:spacing w:val="15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269D"/>
    <w:rPr>
      <w:rFonts w:ascii="Tahoma" w:eastAsia="Times New Roman" w:hAnsi="Tahoma" w:cs="Tahoma"/>
      <w:color w:val="00539B"/>
      <w:spacing w:val="15"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7269D"/>
    <w:rPr>
      <w:rFonts w:ascii="Tahoma" w:eastAsia="Times New Roman" w:hAnsi="Tahoma" w:cs="Tahoma"/>
      <w:color w:val="00539B"/>
      <w:spacing w:val="15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7269D"/>
    <w:rPr>
      <w:strike w:val="0"/>
      <w:dstrike w:val="0"/>
      <w:color w:val="EE3124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726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269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726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7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B1"/>
  </w:style>
  <w:style w:type="paragraph" w:styleId="Heading3">
    <w:name w:val="heading 3"/>
    <w:basedOn w:val="Normal"/>
    <w:link w:val="Heading3Char"/>
    <w:uiPriority w:val="9"/>
    <w:qFormat/>
    <w:rsid w:val="00E7269D"/>
    <w:pPr>
      <w:spacing w:before="100" w:beforeAutospacing="1" w:after="270" w:line="360" w:lineRule="atLeast"/>
      <w:outlineLvl w:val="2"/>
    </w:pPr>
    <w:rPr>
      <w:rFonts w:ascii="Tahoma" w:eastAsia="Times New Roman" w:hAnsi="Tahoma" w:cs="Tahoma"/>
      <w:color w:val="00539B"/>
      <w:spacing w:val="15"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7269D"/>
    <w:pPr>
      <w:spacing w:before="100" w:beforeAutospacing="1" w:after="270" w:line="360" w:lineRule="atLeast"/>
      <w:outlineLvl w:val="3"/>
    </w:pPr>
    <w:rPr>
      <w:rFonts w:ascii="Tahoma" w:eastAsia="Times New Roman" w:hAnsi="Tahoma" w:cs="Tahoma"/>
      <w:color w:val="00539B"/>
      <w:spacing w:val="15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269D"/>
    <w:rPr>
      <w:rFonts w:ascii="Tahoma" w:eastAsia="Times New Roman" w:hAnsi="Tahoma" w:cs="Tahoma"/>
      <w:color w:val="00539B"/>
      <w:spacing w:val="15"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7269D"/>
    <w:rPr>
      <w:rFonts w:ascii="Tahoma" w:eastAsia="Times New Roman" w:hAnsi="Tahoma" w:cs="Tahoma"/>
      <w:color w:val="00539B"/>
      <w:spacing w:val="15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7269D"/>
    <w:rPr>
      <w:strike w:val="0"/>
      <w:dstrike w:val="0"/>
      <w:color w:val="EE3124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726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269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726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7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212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349">
                  <w:marLeft w:val="2"/>
                  <w:marRight w:val="2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83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00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302">
                  <w:marLeft w:val="2"/>
                  <w:marRight w:val="2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4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588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085">
                  <w:marLeft w:val="2"/>
                  <w:marRight w:val="2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7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6298">
                          <w:blockQuote w:val="1"/>
                          <w:marLeft w:val="90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9179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Bristnall Hall Technology College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awalker</dc:creator>
  <cp:lastModifiedBy>Greg McRobert</cp:lastModifiedBy>
  <cp:revision>2</cp:revision>
  <cp:lastPrinted>2014-06-09T14:06:00Z</cp:lastPrinted>
  <dcterms:created xsi:type="dcterms:W3CDTF">2014-06-10T08:45:00Z</dcterms:created>
  <dcterms:modified xsi:type="dcterms:W3CDTF">2014-06-10T08:45:00Z</dcterms:modified>
</cp:coreProperties>
</file>